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5FE" w:rsidRDefault="004905FE" w:rsidP="00F60984">
      <w:pPr>
        <w:jc w:val="center"/>
        <w:rPr>
          <w:rFonts w:ascii="Arial Narrow" w:hAnsi="Arial Narrow"/>
          <w:b/>
          <w:smallCaps/>
          <w:sz w:val="28"/>
          <w:szCs w:val="28"/>
        </w:rPr>
      </w:pPr>
    </w:p>
    <w:p w:rsidR="004905FE" w:rsidRDefault="004905FE" w:rsidP="00F60984">
      <w:pPr>
        <w:jc w:val="center"/>
        <w:rPr>
          <w:rFonts w:ascii="Arial Narrow" w:hAnsi="Arial Narrow"/>
          <w:b/>
          <w:smallCaps/>
          <w:sz w:val="28"/>
          <w:szCs w:val="28"/>
        </w:rPr>
      </w:pPr>
    </w:p>
    <w:p w:rsidR="004905FE" w:rsidRDefault="004905FE" w:rsidP="00F60984">
      <w:pPr>
        <w:jc w:val="center"/>
        <w:rPr>
          <w:rFonts w:ascii="Arial Narrow" w:hAnsi="Arial Narrow"/>
          <w:b/>
          <w:smallCaps/>
          <w:sz w:val="28"/>
          <w:szCs w:val="28"/>
        </w:rPr>
      </w:pPr>
    </w:p>
    <w:p w:rsidR="004905FE" w:rsidRDefault="004905FE" w:rsidP="00F60984">
      <w:pPr>
        <w:jc w:val="center"/>
        <w:rPr>
          <w:rFonts w:ascii="Arial Narrow" w:hAnsi="Arial Narrow"/>
          <w:b/>
          <w:smallCaps/>
          <w:sz w:val="28"/>
          <w:szCs w:val="28"/>
        </w:rPr>
      </w:pPr>
    </w:p>
    <w:p w:rsidR="004905FE" w:rsidRDefault="004905FE" w:rsidP="00F60984">
      <w:pPr>
        <w:jc w:val="center"/>
        <w:rPr>
          <w:rFonts w:ascii="Arial Narrow" w:hAnsi="Arial Narrow"/>
          <w:b/>
          <w:smallCaps/>
          <w:sz w:val="28"/>
          <w:szCs w:val="28"/>
        </w:rPr>
      </w:pPr>
    </w:p>
    <w:p w:rsidR="00F60984" w:rsidRPr="004905FE" w:rsidRDefault="002A0CC5" w:rsidP="00F60984">
      <w:pPr>
        <w:jc w:val="center"/>
        <w:rPr>
          <w:rFonts w:ascii="Arial Narrow" w:hAnsi="Arial Narrow"/>
          <w:b/>
          <w:smallCaps/>
          <w:sz w:val="36"/>
          <w:szCs w:val="28"/>
        </w:rPr>
      </w:pPr>
      <w:r w:rsidRPr="004905FE">
        <w:rPr>
          <w:rFonts w:ascii="Arial Narrow" w:hAnsi="Arial Narrow"/>
          <w:b/>
          <w:smallCaps/>
          <w:sz w:val="36"/>
          <w:szCs w:val="28"/>
        </w:rPr>
        <w:t>Danzar para la Cámara o El Hechizo De Fred Astaire</w:t>
      </w:r>
    </w:p>
    <w:p w:rsidR="00F60984" w:rsidRDefault="00F60984" w:rsidP="00F60984">
      <w:pPr>
        <w:jc w:val="right"/>
      </w:pPr>
    </w:p>
    <w:p w:rsidR="00F60984" w:rsidRDefault="00F60984" w:rsidP="00F60984">
      <w:pPr>
        <w:jc w:val="right"/>
      </w:pPr>
    </w:p>
    <w:p w:rsidR="00F60984" w:rsidRDefault="00F60984" w:rsidP="00F60984">
      <w:pPr>
        <w:jc w:val="right"/>
      </w:pPr>
      <w:r>
        <w:t>Juana Garrido</w:t>
      </w:r>
    </w:p>
    <w:p w:rsidR="00F60984" w:rsidRDefault="00F60984" w:rsidP="00F60984">
      <w:pPr>
        <w:jc w:val="right"/>
      </w:pPr>
      <w:r>
        <w:t>Profesora de la materia de ANÁLISIS DEL REPERTORIO</w:t>
      </w:r>
    </w:p>
    <w:p w:rsidR="00F60984" w:rsidRDefault="00F60984" w:rsidP="00F60984">
      <w:pPr>
        <w:jc w:val="right"/>
      </w:pPr>
      <w:r>
        <w:t>CONSERVATORIO SUPERIOR DE DANZA DE MÁLAGA</w:t>
      </w:r>
    </w:p>
    <w:p w:rsidR="007E2076" w:rsidRDefault="007E2076"/>
    <w:p w:rsidR="00F60984" w:rsidRDefault="00EF2167" w:rsidP="00A94FD3">
      <w:pPr>
        <w:spacing w:line="340" w:lineRule="exact"/>
      </w:pPr>
      <w:r>
        <w:t>(RESUMEN)</w:t>
      </w:r>
    </w:p>
    <w:p w:rsidR="00F60984" w:rsidRDefault="00F60984" w:rsidP="00A94FD3">
      <w:pPr>
        <w:spacing w:line="340" w:lineRule="exact"/>
      </w:pPr>
      <w:r w:rsidRPr="002A0CC5">
        <w:t xml:space="preserve">El objeto de este estudio es señalar los </w:t>
      </w:r>
      <w:r w:rsidR="002A0CC5" w:rsidRPr="002A0CC5">
        <w:t>avances</w:t>
      </w:r>
      <w:r w:rsidRPr="002A0CC5">
        <w:t xml:space="preserve"> </w:t>
      </w:r>
      <w:r w:rsidR="002A0CC5">
        <w:t xml:space="preserve">técnicos y escénicos </w:t>
      </w:r>
      <w:r w:rsidRPr="002A0CC5">
        <w:t xml:space="preserve">que Fred Astaire hizo para el mundo de la danza </w:t>
      </w:r>
      <w:r w:rsidR="002A0CC5" w:rsidRPr="002A0CC5">
        <w:t xml:space="preserve">desde dos enfoques; el primero, en el ámbito de la escena y el segundo en el cinematográfico </w:t>
      </w:r>
      <w:r w:rsidRPr="002A0CC5">
        <w:t>estableciendo</w:t>
      </w:r>
      <w:r>
        <w:t xml:space="preserve"> los paradigmas </w:t>
      </w:r>
      <w:r w:rsidR="00301FB2">
        <w:t xml:space="preserve">técnicos y estéticos </w:t>
      </w:r>
      <w:r w:rsidR="004A2F8A">
        <w:t>fundamentales para</w:t>
      </w:r>
      <w:r>
        <w:t xml:space="preserve"> la filmación de danza tanto </w:t>
      </w:r>
      <w:r w:rsidR="00301FB2">
        <w:t xml:space="preserve">en </w:t>
      </w:r>
      <w:r w:rsidR="004A2F8A">
        <w:t>el propio</w:t>
      </w:r>
      <w:r>
        <w:t xml:space="preserve"> </w:t>
      </w:r>
      <w:r w:rsidR="002A0CC5">
        <w:t>género</w:t>
      </w:r>
      <w:r>
        <w:t xml:space="preserve"> de los musicales como en</w:t>
      </w:r>
      <w:r w:rsidR="002A0CC5">
        <w:t xml:space="preserve"> el registro de un arte inasible y de tres dimensiones como es la danza.</w:t>
      </w:r>
    </w:p>
    <w:p w:rsidR="002A0CC5" w:rsidRDefault="002A0CC5" w:rsidP="00A94FD3">
      <w:pPr>
        <w:spacing w:line="340" w:lineRule="exact"/>
      </w:pPr>
      <w:r>
        <w:t>El que Fred Astaire haya llegado a ser considerado como uno de los mejores bailarines del siglo XX es debido a una serie de factores internos vinculados a su propia vida</w:t>
      </w:r>
      <w:r w:rsidR="00E840FD">
        <w:t>. Pero también a otros</w:t>
      </w:r>
      <w:r>
        <w:t xml:space="preserve"> externos que hace</w:t>
      </w:r>
      <w:r w:rsidR="00A94FD3">
        <w:t>n de él un reflejo del tiempo que le tocó vivir.</w:t>
      </w:r>
    </w:p>
    <w:p w:rsidR="00E840FD" w:rsidRDefault="00A94FD3" w:rsidP="00A94FD3">
      <w:pPr>
        <w:spacing w:line="340" w:lineRule="exact"/>
      </w:pPr>
      <w:r>
        <w:t xml:space="preserve">Entre los factores internos </w:t>
      </w:r>
      <w:r w:rsidR="00E840FD">
        <w:t>están:</w:t>
      </w:r>
    </w:p>
    <w:p w:rsidR="00A94FD3" w:rsidRDefault="00E840FD" w:rsidP="00E840FD">
      <w:pPr>
        <w:pStyle w:val="Prrafodelista"/>
        <w:numPr>
          <w:ilvl w:val="0"/>
          <w:numId w:val="2"/>
        </w:numPr>
        <w:spacing w:line="340" w:lineRule="exact"/>
      </w:pPr>
      <w:r>
        <w:t>E</w:t>
      </w:r>
      <w:r w:rsidR="00A94FD3">
        <w:t>l de su propia educación sobre el mundo de la danza liderado por su madre con la influencia de su hermana.</w:t>
      </w:r>
    </w:p>
    <w:p w:rsidR="00E840FD" w:rsidRPr="00E840FD" w:rsidRDefault="00E840FD" w:rsidP="00E840FD">
      <w:pPr>
        <w:pStyle w:val="Prrafodelista"/>
        <w:numPr>
          <w:ilvl w:val="0"/>
          <w:numId w:val="2"/>
        </w:numPr>
        <w:spacing w:line="340" w:lineRule="exact"/>
      </w:pPr>
      <w:r>
        <w:t xml:space="preserve">Es ser absolutamente coetáneo con la llegada al teatro musical (no vodevil ni </w:t>
      </w:r>
      <w:proofErr w:type="spellStart"/>
      <w:r>
        <w:t>burlesque</w:t>
      </w:r>
      <w:proofErr w:type="spellEnd"/>
      <w:r>
        <w:t xml:space="preserve">) de las obras teatrales musicales en las que se utilizaba el </w:t>
      </w:r>
      <w:proofErr w:type="spellStart"/>
      <w:r w:rsidRPr="00E840FD">
        <w:rPr>
          <w:i/>
        </w:rPr>
        <w:t>tap</w:t>
      </w:r>
      <w:proofErr w:type="spellEnd"/>
      <w:r w:rsidRPr="00E840FD">
        <w:rPr>
          <w:i/>
        </w:rPr>
        <w:t xml:space="preserve"> </w:t>
      </w:r>
      <w:proofErr w:type="spellStart"/>
      <w:r w:rsidRPr="00E840FD">
        <w:rPr>
          <w:i/>
        </w:rPr>
        <w:t>dancing</w:t>
      </w:r>
      <w:proofErr w:type="spellEnd"/>
      <w:r>
        <w:rPr>
          <w:i/>
        </w:rPr>
        <w:t xml:space="preserve"> </w:t>
      </w:r>
      <w:r w:rsidRPr="00E840FD">
        <w:t>(claqué)</w:t>
      </w:r>
      <w:r>
        <w:t>, más allá del uso de esta técnica en el mundo popular y segregado afroamericano.</w:t>
      </w:r>
    </w:p>
    <w:p w:rsidR="00A94FD3" w:rsidRDefault="00A94FD3" w:rsidP="00E840FD">
      <w:pPr>
        <w:pStyle w:val="Prrafodelista"/>
        <w:numPr>
          <w:ilvl w:val="0"/>
          <w:numId w:val="2"/>
        </w:numPr>
        <w:spacing w:line="340" w:lineRule="exact"/>
      </w:pPr>
      <w:r>
        <w:t xml:space="preserve">El desarrollo de un estilo único </w:t>
      </w:r>
      <w:r w:rsidR="00301FB2">
        <w:t xml:space="preserve">vernáculo </w:t>
      </w:r>
      <w:r>
        <w:t xml:space="preserve">de danza, </w:t>
      </w:r>
      <w:r w:rsidR="00E840FD">
        <w:t xml:space="preserve">indiscutiblemente estadounidense aunque también </w:t>
      </w:r>
      <w:r w:rsidR="00301FB2">
        <w:t>considerado</w:t>
      </w:r>
      <w:r>
        <w:t xml:space="preserve"> </w:t>
      </w:r>
      <w:r w:rsidRPr="00301FB2">
        <w:rPr>
          <w:i/>
        </w:rPr>
        <w:t>excéntric</w:t>
      </w:r>
      <w:r w:rsidR="00301FB2">
        <w:rPr>
          <w:i/>
        </w:rPr>
        <w:t>o</w:t>
      </w:r>
      <w:r>
        <w:t xml:space="preserve"> por los propios artistas norteamericanos</w:t>
      </w:r>
      <w:r w:rsidR="00E840FD">
        <w:t>.</w:t>
      </w:r>
    </w:p>
    <w:p w:rsidR="006E704E" w:rsidRDefault="006E704E" w:rsidP="00E840FD">
      <w:pPr>
        <w:pStyle w:val="Prrafodelista"/>
        <w:numPr>
          <w:ilvl w:val="0"/>
          <w:numId w:val="2"/>
        </w:numPr>
        <w:spacing w:line="340" w:lineRule="exact"/>
      </w:pPr>
      <w:r>
        <w:t xml:space="preserve">Utilizar la coreografía de danza </w:t>
      </w:r>
      <w:r w:rsidR="004A2F8A">
        <w:t xml:space="preserve">en musical teatral y en películas musicales </w:t>
      </w:r>
      <w:r>
        <w:t>como un elemento diegético que hace avanzar o intensifica las acciones argumentales.</w:t>
      </w:r>
    </w:p>
    <w:p w:rsidR="00A94FD3" w:rsidRDefault="00E840FD" w:rsidP="00A94FD3">
      <w:pPr>
        <w:spacing w:line="340" w:lineRule="exact"/>
      </w:pPr>
      <w:r>
        <w:lastRenderedPageBreak/>
        <w:t>Los factores externos</w:t>
      </w:r>
      <w:r w:rsidR="00A94FD3">
        <w:t xml:space="preserve"> </w:t>
      </w:r>
      <w:r>
        <w:t>proporcionaron</w:t>
      </w:r>
      <w:r w:rsidR="00A94FD3">
        <w:t xml:space="preserve"> las circunstancias idóneas para </w:t>
      </w:r>
      <w:r>
        <w:t>poner en práctica</w:t>
      </w:r>
      <w:r w:rsidR="00A94FD3">
        <w:t xml:space="preserve"> un </w:t>
      </w:r>
      <w:r w:rsidR="00EF2167">
        <w:t>tratamiento</w:t>
      </w:r>
      <w:r w:rsidR="00A94FD3">
        <w:t xml:space="preserve"> de la danza </w:t>
      </w:r>
      <w:r w:rsidR="006E704E">
        <w:t xml:space="preserve">y concepciones estéticas corporales </w:t>
      </w:r>
      <w:r w:rsidR="00A94FD3">
        <w:t xml:space="preserve">que fue gestando </w:t>
      </w:r>
      <w:r>
        <w:t xml:space="preserve">y desarrollando </w:t>
      </w:r>
      <w:r w:rsidR="00A94FD3">
        <w:t xml:space="preserve">a lo largo de los veinticinco años de experiencia de bailar con su hermana </w:t>
      </w:r>
      <w:proofErr w:type="spellStart"/>
      <w:r w:rsidR="00A94FD3">
        <w:t>Adele</w:t>
      </w:r>
      <w:proofErr w:type="spellEnd"/>
      <w:r w:rsidR="00A94FD3">
        <w:t>.</w:t>
      </w:r>
      <w:r>
        <w:t xml:space="preserve"> Algunos de ellos son:</w:t>
      </w:r>
    </w:p>
    <w:p w:rsidR="00AE6B76" w:rsidRDefault="00A94FD3" w:rsidP="00A94FD3">
      <w:pPr>
        <w:pStyle w:val="Prrafodelista"/>
        <w:numPr>
          <w:ilvl w:val="0"/>
          <w:numId w:val="1"/>
        </w:numPr>
        <w:spacing w:line="340" w:lineRule="exact"/>
      </w:pPr>
      <w:r>
        <w:t>Haber filmado</w:t>
      </w:r>
      <w:r w:rsidR="00EF2167">
        <w:t xml:space="preserve"> </w:t>
      </w:r>
      <w:r>
        <w:t xml:space="preserve">sus primeras películas concretamente con la productora </w:t>
      </w:r>
      <w:proofErr w:type="spellStart"/>
      <w:r>
        <w:t>RKO</w:t>
      </w:r>
      <w:proofErr w:type="spellEnd"/>
      <w:r>
        <w:t xml:space="preserve">  en la que encontró </w:t>
      </w:r>
      <w:r w:rsidR="004A2F8A">
        <w:t xml:space="preserve">a personas que apoyaron sus ideas: </w:t>
      </w:r>
      <w:r>
        <w:t xml:space="preserve">productores como </w:t>
      </w:r>
      <w:proofErr w:type="spellStart"/>
      <w:r>
        <w:t>Pandro</w:t>
      </w:r>
      <w:proofErr w:type="spellEnd"/>
      <w:r>
        <w:t xml:space="preserve"> S. Berman y </w:t>
      </w:r>
    </w:p>
    <w:p w:rsidR="00AE6B76" w:rsidRDefault="00AE6B76" w:rsidP="00A94FD3">
      <w:pPr>
        <w:pStyle w:val="Prrafodelista"/>
        <w:numPr>
          <w:ilvl w:val="0"/>
          <w:numId w:val="1"/>
        </w:numPr>
        <w:spacing w:line="340" w:lineRule="exact"/>
      </w:pPr>
      <w:r>
        <w:t>C</w:t>
      </w:r>
      <w:r w:rsidR="00A94FD3">
        <w:t>olaboradores creativos y con espíritu innovador</w:t>
      </w:r>
      <w:r w:rsidR="00F22BF4">
        <w:t xml:space="preserve"> como </w:t>
      </w:r>
      <w:r w:rsidR="00A94FD3">
        <w:t xml:space="preserve"> </w:t>
      </w:r>
      <w:r w:rsidR="004A2F8A">
        <w:t>el director artístico, diseñador de producción y escenógrafo,</w:t>
      </w:r>
      <w:r w:rsidR="00F22BF4">
        <w:t xml:space="preserve"> Van </w:t>
      </w:r>
      <w:proofErr w:type="spellStart"/>
      <w:r w:rsidR="00F22BF4">
        <w:t>Nest</w:t>
      </w:r>
      <w:proofErr w:type="spellEnd"/>
      <w:r w:rsidR="00F22BF4">
        <w:t xml:space="preserve"> </w:t>
      </w:r>
      <w:proofErr w:type="spellStart"/>
      <w:r w:rsidR="00F22BF4">
        <w:t>Polglase</w:t>
      </w:r>
      <w:proofErr w:type="spellEnd"/>
      <w:r w:rsidR="00F22BF4">
        <w:t xml:space="preserve"> </w:t>
      </w:r>
      <w:r>
        <w:t xml:space="preserve">uno de los más destacados exponentes del estilo decorativo y arquitectónico Art Decó </w:t>
      </w:r>
      <w:r>
        <w:noBreakHyphen/>
        <w:t>en el que las figuras de Astaire y Ginger Rogers vestidos él con frac negro y ella con aquellos vestidos ceñidos a la cadera con amplios escotes traseros y faldas de vuelo al bies</w:t>
      </w:r>
      <w:r w:rsidR="008719D0">
        <w:t xml:space="preserve"> de factura actualísima</w:t>
      </w:r>
      <w:r>
        <w:noBreakHyphen/>
        <w:t>, integraban una puesta en escena sobre decorados geométricos en blanco y negro</w:t>
      </w:r>
      <w:r w:rsidR="008719D0">
        <w:t xml:space="preserve"> que continúan hechizándonos</w:t>
      </w:r>
      <w:r>
        <w:t xml:space="preserve"> </w:t>
      </w:r>
      <w:r w:rsidR="008719D0">
        <w:t>ochenta años después.</w:t>
      </w:r>
    </w:p>
    <w:p w:rsidR="00A94FD3" w:rsidRDefault="00AE6B76" w:rsidP="00A94FD3">
      <w:pPr>
        <w:pStyle w:val="Prrafodelista"/>
        <w:numPr>
          <w:ilvl w:val="0"/>
          <w:numId w:val="1"/>
        </w:numPr>
        <w:spacing w:line="340" w:lineRule="exact"/>
      </w:pPr>
      <w:r>
        <w:t>Con</w:t>
      </w:r>
      <w:r w:rsidR="00F22BF4">
        <w:t xml:space="preserve"> </w:t>
      </w:r>
      <w:r w:rsidR="008719D0">
        <w:t>estos artistas cinematográficos</w:t>
      </w:r>
      <w:r w:rsidR="00F22BF4">
        <w:t xml:space="preserve"> consiguió un equipo que le permitió </w:t>
      </w:r>
      <w:r w:rsidR="00EF2167">
        <w:t>exponer y desarrollar</w:t>
      </w:r>
      <w:r w:rsidR="00A94FD3">
        <w:t xml:space="preserve"> sus propias inquietudes como bailarín y músico</w:t>
      </w:r>
      <w:r w:rsidR="00F22BF4">
        <w:t xml:space="preserve">. Su hubiera filmado con, </w:t>
      </w:r>
      <w:proofErr w:type="spellStart"/>
      <w:r w:rsidR="00A94FD3">
        <w:t>MGM</w:t>
      </w:r>
      <w:proofErr w:type="spellEnd"/>
      <w:r w:rsidR="00F22BF4">
        <w:t>, Universal o Warner, viendo con perspectiva los años treinta</w:t>
      </w:r>
      <w:r w:rsidR="00EF2167">
        <w:t>,</w:t>
      </w:r>
      <w:r w:rsidR="00F22BF4">
        <w:t xml:space="preserve"> la carrera de Fred indudablemente habría ido por otros derroteros.</w:t>
      </w:r>
    </w:p>
    <w:p w:rsidR="00F22BF4" w:rsidRDefault="00F22BF4" w:rsidP="00A94FD3">
      <w:pPr>
        <w:pStyle w:val="Prrafodelista"/>
        <w:numPr>
          <w:ilvl w:val="0"/>
          <w:numId w:val="1"/>
        </w:numPr>
        <w:spacing w:line="340" w:lineRule="exact"/>
      </w:pPr>
      <w:r>
        <w:t>Llegar a firmar un contrato en el que se especifica que él tenía control absoluto de la producción integral de los números de danza en cuanto al tratamiento de la música, la danza por supuesto y sobre todo la propia filmación</w:t>
      </w:r>
      <w:r w:rsidR="00EF2167">
        <w:t xml:space="preserve"> así como</w:t>
      </w:r>
      <w:r>
        <w:t xml:space="preserve"> la postproducción.</w:t>
      </w:r>
    </w:p>
    <w:p w:rsidR="00F22BF4" w:rsidRDefault="00F22BF4" w:rsidP="00A94FD3">
      <w:pPr>
        <w:pStyle w:val="Prrafodelista"/>
        <w:numPr>
          <w:ilvl w:val="0"/>
          <w:numId w:val="1"/>
        </w:numPr>
        <w:spacing w:line="340" w:lineRule="exact"/>
      </w:pPr>
      <w:r>
        <w:t xml:space="preserve">Desarrollar una técnica de grabación de danza en la que se utilizaba un tipo de cámara que la productora llegó a llamar </w:t>
      </w:r>
      <w:r w:rsidRPr="00F22BF4">
        <w:rPr>
          <w:i/>
        </w:rPr>
        <w:t xml:space="preserve">Astaire </w:t>
      </w:r>
      <w:r>
        <w:rPr>
          <w:i/>
        </w:rPr>
        <w:t>Dolly.</w:t>
      </w:r>
    </w:p>
    <w:p w:rsidR="00A94FD3" w:rsidRDefault="00A94FD3" w:rsidP="00A94FD3">
      <w:pPr>
        <w:pStyle w:val="Prrafodelista"/>
        <w:numPr>
          <w:ilvl w:val="0"/>
          <w:numId w:val="1"/>
        </w:numPr>
        <w:spacing w:line="340" w:lineRule="exact"/>
      </w:pPr>
      <w:r>
        <w:t xml:space="preserve">Haber encontrado a una pareja para sus duetos de baile como Ginger Rogers, a la que </w:t>
      </w:r>
      <w:r w:rsidR="00E840FD">
        <w:t>a menudo</w:t>
      </w:r>
      <w:r>
        <w:t xml:space="preserve"> se le ha infravalorado su contribución al fenómeno artístico que Fred Astaire puso en marcha.</w:t>
      </w:r>
    </w:p>
    <w:p w:rsidR="00A94FD3" w:rsidRDefault="00A94FD3" w:rsidP="00A94FD3">
      <w:pPr>
        <w:pStyle w:val="Prrafodelista"/>
        <w:numPr>
          <w:ilvl w:val="0"/>
          <w:numId w:val="1"/>
        </w:numPr>
        <w:spacing w:line="340" w:lineRule="exact"/>
      </w:pPr>
      <w:r>
        <w:t xml:space="preserve">Haber tenido como </w:t>
      </w:r>
      <w:r w:rsidRPr="00A94FD3">
        <w:rPr>
          <w:i/>
        </w:rPr>
        <w:t xml:space="preserve">dance director </w:t>
      </w:r>
      <w:r>
        <w:t>a un gran coreógrafo como Hermes Pan</w:t>
      </w:r>
      <w:r w:rsidR="00E840FD">
        <w:t>.</w:t>
      </w:r>
    </w:p>
    <w:p w:rsidR="00B629F3" w:rsidRDefault="00B629F3" w:rsidP="00A94FD3">
      <w:pPr>
        <w:pStyle w:val="Prrafodelista"/>
        <w:numPr>
          <w:ilvl w:val="0"/>
          <w:numId w:val="1"/>
        </w:numPr>
        <w:spacing w:line="340" w:lineRule="exact"/>
      </w:pPr>
      <w:r>
        <w:t xml:space="preserve">Búsqueda casi obsesiva de la perfección mediante interminables horas de ensayo así como incontables tomas </w:t>
      </w:r>
      <w:r w:rsidR="00AE6B76">
        <w:t xml:space="preserve">de </w:t>
      </w:r>
      <w:r>
        <w:t>cada una de las coreografías hasta conseguir la mejor.</w:t>
      </w:r>
    </w:p>
    <w:p w:rsidR="00B629F3" w:rsidRDefault="00B629F3" w:rsidP="00A94FD3">
      <w:pPr>
        <w:pStyle w:val="Prrafodelista"/>
        <w:numPr>
          <w:ilvl w:val="0"/>
          <w:numId w:val="1"/>
        </w:numPr>
        <w:spacing w:line="340" w:lineRule="exact"/>
      </w:pPr>
      <w:r>
        <w:t>Propósito firme de no repetir danzas, búsqueda de la originalidad para hacer única cada una de sus películas.</w:t>
      </w:r>
    </w:p>
    <w:p w:rsidR="006E704E" w:rsidRDefault="006E704E" w:rsidP="006E704E">
      <w:pPr>
        <w:pStyle w:val="Prrafodelista"/>
        <w:numPr>
          <w:ilvl w:val="0"/>
          <w:numId w:val="1"/>
        </w:numPr>
        <w:spacing w:line="340" w:lineRule="exact"/>
      </w:pPr>
      <w:r>
        <w:t>Realizar antes que nadie una danza integrada con los elementos del decorado (mesas, percheros, petardos) y con técnicas exclusivamente cinematográficas.</w:t>
      </w:r>
    </w:p>
    <w:p w:rsidR="00E840FD" w:rsidRDefault="00E840FD" w:rsidP="00A94FD3">
      <w:pPr>
        <w:pStyle w:val="Prrafodelista"/>
        <w:numPr>
          <w:ilvl w:val="0"/>
          <w:numId w:val="1"/>
        </w:numPr>
        <w:spacing w:line="340" w:lineRule="exact"/>
      </w:pPr>
      <w:r>
        <w:lastRenderedPageBreak/>
        <w:t xml:space="preserve">Haber interpretado composiciones de los mejores músicos norteamericanos del siglo XX: Jerome Kern, Irving </w:t>
      </w:r>
      <w:proofErr w:type="spellStart"/>
      <w:r>
        <w:t>Berling</w:t>
      </w:r>
      <w:proofErr w:type="spellEnd"/>
      <w:r>
        <w:t xml:space="preserve">, Cole </w:t>
      </w:r>
      <w:proofErr w:type="spellStart"/>
      <w:r>
        <w:t>Porter</w:t>
      </w:r>
      <w:proofErr w:type="spellEnd"/>
      <w:r>
        <w:t xml:space="preserve"> e George e Ira </w:t>
      </w:r>
      <w:proofErr w:type="spellStart"/>
      <w:r>
        <w:t>Gershwim</w:t>
      </w:r>
      <w:proofErr w:type="spellEnd"/>
      <w:r>
        <w:t xml:space="preserve"> con los que trabajó en relación estrecha para </w:t>
      </w:r>
      <w:r w:rsidR="00F22BF4">
        <w:t>hacer de muchas de sus composiciones</w:t>
      </w:r>
      <w:r>
        <w:t xml:space="preserve"> clásicos que hoy son iconos de la canción </w:t>
      </w:r>
      <w:r w:rsidR="006E704E">
        <w:t xml:space="preserve"> mundial </w:t>
      </w:r>
      <w:r>
        <w:t xml:space="preserve">como </w:t>
      </w:r>
      <w:proofErr w:type="spellStart"/>
      <w:r w:rsidRPr="00E840FD">
        <w:rPr>
          <w:i/>
        </w:rPr>
        <w:t>Night</w:t>
      </w:r>
      <w:proofErr w:type="spellEnd"/>
      <w:r w:rsidRPr="00E840FD">
        <w:rPr>
          <w:i/>
        </w:rPr>
        <w:t xml:space="preserve"> and Day</w:t>
      </w:r>
      <w:r w:rsidR="00F22BF4">
        <w:rPr>
          <w:i/>
        </w:rPr>
        <w:t xml:space="preserve"> </w:t>
      </w:r>
      <w:r w:rsidR="00F22BF4" w:rsidRPr="00F22BF4">
        <w:t>o</w:t>
      </w:r>
      <w:r>
        <w:rPr>
          <w:i/>
        </w:rPr>
        <w:t xml:space="preserve"> </w:t>
      </w:r>
      <w:proofErr w:type="spellStart"/>
      <w:r>
        <w:rPr>
          <w:i/>
        </w:rPr>
        <w:t>Beguin</w:t>
      </w:r>
      <w:proofErr w:type="spellEnd"/>
      <w:r w:rsidRPr="00E840FD">
        <w:rPr>
          <w:i/>
        </w:rPr>
        <w:t xml:space="preserve"> </w:t>
      </w:r>
      <w:proofErr w:type="spellStart"/>
      <w:r w:rsidRPr="00E840FD">
        <w:rPr>
          <w:i/>
        </w:rPr>
        <w:t>the</w:t>
      </w:r>
      <w:proofErr w:type="spellEnd"/>
      <w:r w:rsidRPr="00E840FD">
        <w:rPr>
          <w:i/>
        </w:rPr>
        <w:t xml:space="preserve"> </w:t>
      </w:r>
      <w:proofErr w:type="spellStart"/>
      <w:r w:rsidRPr="00E840FD">
        <w:rPr>
          <w:i/>
        </w:rPr>
        <w:t>Beguin</w:t>
      </w:r>
      <w:r>
        <w:t>e</w:t>
      </w:r>
      <w:proofErr w:type="spellEnd"/>
      <w:r w:rsidR="00F22BF4">
        <w:t>.</w:t>
      </w:r>
    </w:p>
    <w:p w:rsidR="008719D0" w:rsidRDefault="00F22BF4" w:rsidP="00F22BF4">
      <w:pPr>
        <w:spacing w:line="340" w:lineRule="exact"/>
      </w:pPr>
      <w:r>
        <w:t>En los factores internos desar</w:t>
      </w:r>
      <w:r w:rsidR="00B8301D">
        <w:t>rollaremos las cualidades estilí</w:t>
      </w:r>
      <w:r>
        <w:t>st</w:t>
      </w:r>
      <w:r w:rsidR="00B8301D">
        <w:t>ic</w:t>
      </w:r>
      <w:r>
        <w:t xml:space="preserve">as peculiares que hicieron </w:t>
      </w:r>
      <w:r w:rsidR="008719D0">
        <w:t>de su</w:t>
      </w:r>
      <w:r>
        <w:t xml:space="preserve"> técnica de danza </w:t>
      </w:r>
      <w:r w:rsidR="008719D0">
        <w:t xml:space="preserve">desarrollada a partir de la danza clásica, el </w:t>
      </w:r>
      <w:proofErr w:type="spellStart"/>
      <w:r w:rsidR="008719D0">
        <w:t>tap</w:t>
      </w:r>
      <w:proofErr w:type="spellEnd"/>
      <w:r w:rsidR="008719D0">
        <w:t xml:space="preserve"> y el baile de salón</w:t>
      </w:r>
      <w:r w:rsidR="008719D0">
        <w:t>, un fenómeno único</w:t>
      </w:r>
      <w:r w:rsidR="00301FB2">
        <w:t>.</w:t>
      </w:r>
      <w:r>
        <w:t xml:space="preserve"> </w:t>
      </w:r>
    </w:p>
    <w:p w:rsidR="008719D0" w:rsidRDefault="00B8301D" w:rsidP="00F22BF4">
      <w:pPr>
        <w:spacing w:line="340" w:lineRule="exact"/>
      </w:pPr>
      <w:r>
        <w:t>É</w:t>
      </w:r>
      <w:r w:rsidR="00301FB2">
        <w:t xml:space="preserve">l no era sólo un mero pero experimentado </w:t>
      </w:r>
      <w:proofErr w:type="spellStart"/>
      <w:r w:rsidR="00301FB2" w:rsidRPr="00301FB2">
        <w:rPr>
          <w:i/>
        </w:rPr>
        <w:t>hoofer</w:t>
      </w:r>
      <w:proofErr w:type="spellEnd"/>
      <w:r w:rsidR="00301FB2">
        <w:rPr>
          <w:rStyle w:val="Refdenotaalpie"/>
          <w:i/>
        </w:rPr>
        <w:footnoteReference w:id="1"/>
      </w:r>
      <w:r w:rsidR="00AE6B76">
        <w:t>;</w:t>
      </w:r>
      <w:r w:rsidR="00301FB2">
        <w:t xml:space="preserve"> no </w:t>
      </w:r>
      <w:r w:rsidR="00AE6B76">
        <w:t xml:space="preserve">sólo </w:t>
      </w:r>
      <w:r w:rsidR="00301FB2">
        <w:t xml:space="preserve">era </w:t>
      </w:r>
      <w:r w:rsidR="00AE6B76">
        <w:t xml:space="preserve">un experto </w:t>
      </w:r>
      <w:r w:rsidR="00301FB2">
        <w:t xml:space="preserve">bailarín de baile de salón. </w:t>
      </w:r>
      <w:r w:rsidR="008719D0">
        <w:t xml:space="preserve">Sino que fusionó ambas técnicas con ciertos aspectos de la danza clásica con lo que creó un estilo heterodoxo, </w:t>
      </w:r>
      <w:proofErr w:type="spellStart"/>
      <w:r w:rsidR="008719D0" w:rsidRPr="008719D0">
        <w:rPr>
          <w:i/>
        </w:rPr>
        <w:t>excéntric</w:t>
      </w:r>
      <w:proofErr w:type="spellEnd"/>
      <w:r w:rsidR="008719D0">
        <w:t xml:space="preserve"> según sus colegas.</w:t>
      </w:r>
    </w:p>
    <w:p w:rsidR="00EF2167" w:rsidRDefault="008719D0" w:rsidP="00F22BF4">
      <w:pPr>
        <w:spacing w:line="340" w:lineRule="exact"/>
      </w:pPr>
      <w:r>
        <w:t xml:space="preserve">Asimismo, </w:t>
      </w:r>
      <w:r w:rsidR="00EF2167">
        <w:t>también fue músico, y desarrolló una fructífera carrera como cantante</w:t>
      </w:r>
      <w:r>
        <w:t xml:space="preserve"> en radio y edición de discos</w:t>
      </w:r>
      <w:r w:rsidR="00EF2167">
        <w:t>.</w:t>
      </w:r>
    </w:p>
    <w:p w:rsidR="00AE6B76" w:rsidRDefault="00AE6B76" w:rsidP="00AE6B76">
      <w:pPr>
        <w:spacing w:line="340" w:lineRule="exact"/>
      </w:pPr>
      <w:r>
        <w:t xml:space="preserve">Fred Astaire no puede ser considerado como un bailarín y coreógrafo que salió en películas musicales. Fred Astaire </w:t>
      </w:r>
      <w:r w:rsidR="008719D0">
        <w:t xml:space="preserve">tiene una dimensión mayor, y por tanto una mayor influencia: </w:t>
      </w:r>
      <w:r>
        <w:t>fue un creador de películas con danza.</w:t>
      </w:r>
    </w:p>
    <w:p w:rsidR="00301FB2" w:rsidRDefault="00301FB2" w:rsidP="00F22BF4">
      <w:pPr>
        <w:spacing w:line="340" w:lineRule="exact"/>
      </w:pPr>
      <w:r>
        <w:t>Sus coreografías se han tildado con frecuencia de improvisadas y ligeras. Efectivamente tienen una apariencia fácil. Pero analizándolas en profundidad vemos una tremenda elaboración basada en la utilización al máximo del espacio, tanto en los solos como en los duetos como en el uso del ritmo sincopado</w:t>
      </w:r>
      <w:r w:rsidR="008719D0">
        <w:t>;</w:t>
      </w:r>
      <w:r>
        <w:t xml:space="preserve"> tanto en el claqué como en el ataque de los pasos con una cualidad </w:t>
      </w:r>
      <w:r w:rsidR="008719D0">
        <w:t xml:space="preserve">propia </w:t>
      </w:r>
      <w:r>
        <w:t xml:space="preserve">que definió </w:t>
      </w:r>
      <w:proofErr w:type="spellStart"/>
      <w:r w:rsidR="008719D0">
        <w:t>Merce</w:t>
      </w:r>
      <w:proofErr w:type="spellEnd"/>
      <w:r w:rsidR="008719D0">
        <w:t xml:space="preserve"> </w:t>
      </w:r>
      <w:proofErr w:type="spellStart"/>
      <w:r>
        <w:t>Cunningham</w:t>
      </w:r>
      <w:proofErr w:type="spellEnd"/>
      <w:r>
        <w:t xml:space="preserve"> como de “</w:t>
      </w:r>
      <w:r w:rsidRPr="00301FB2">
        <w:rPr>
          <w:i/>
        </w:rPr>
        <w:t>imposible gimnasia mental que da descanso a la mente e impulsa al espíritu</w:t>
      </w:r>
      <w:r>
        <w:t xml:space="preserve">.” </w:t>
      </w:r>
    </w:p>
    <w:p w:rsidR="00F60984" w:rsidRDefault="00F60984"/>
    <w:p w:rsidR="00F60984" w:rsidRDefault="00F60984">
      <w:bookmarkStart w:id="0" w:name="_GoBack"/>
      <w:bookmarkEnd w:id="0"/>
    </w:p>
    <w:p w:rsidR="00F60984" w:rsidRDefault="00F60984"/>
    <w:p w:rsidR="00F60984" w:rsidRDefault="00F60984"/>
    <w:p w:rsidR="00F60984" w:rsidRDefault="00F60984"/>
    <w:sdt>
      <w:sdtPr>
        <w:rPr>
          <w:rFonts w:ascii="Georgia" w:eastAsia="Times New Roman" w:hAnsi="Georgia" w:cs="Times New Roman"/>
          <w:b w:val="0"/>
          <w:bCs w:val="0"/>
          <w:color w:val="auto"/>
          <w:sz w:val="24"/>
          <w:szCs w:val="24"/>
        </w:rPr>
        <w:id w:val="286240591"/>
        <w:docPartObj>
          <w:docPartGallery w:val="Bibliographies"/>
          <w:docPartUnique/>
        </w:docPartObj>
      </w:sdtPr>
      <w:sdtEndPr/>
      <w:sdtContent>
        <w:p w:rsidR="00B8301D" w:rsidRPr="00B8301D" w:rsidRDefault="00B8301D">
          <w:pPr>
            <w:pStyle w:val="Ttulo1"/>
            <w:rPr>
              <w:lang w:val="en-US"/>
            </w:rPr>
          </w:pPr>
          <w:proofErr w:type="spellStart"/>
          <w:r w:rsidRPr="00B8301D">
            <w:rPr>
              <w:lang w:val="en-US"/>
            </w:rPr>
            <w:t>Bibliografía</w:t>
          </w:r>
          <w:proofErr w:type="spellEnd"/>
        </w:p>
        <w:sdt>
          <w:sdtPr>
            <w:id w:val="754328798"/>
            <w:bibliography/>
          </w:sdtPr>
          <w:sdtEndPr/>
          <w:sdtContent>
            <w:p w:rsidR="008723A6" w:rsidRDefault="00B8301D" w:rsidP="008723A6">
              <w:pPr>
                <w:pStyle w:val="Bibliografa"/>
                <w:rPr>
                  <w:noProof/>
                  <w:lang w:val="en-US"/>
                </w:rPr>
              </w:pPr>
              <w:r>
                <w:fldChar w:fldCharType="begin"/>
              </w:r>
              <w:r w:rsidRPr="00B8301D">
                <w:rPr>
                  <w:lang w:val="en-US"/>
                </w:rPr>
                <w:instrText>BIBLIOGRAPHY</w:instrText>
              </w:r>
              <w:r>
                <w:fldChar w:fldCharType="separate"/>
              </w:r>
              <w:r w:rsidR="008723A6">
                <w:rPr>
                  <w:noProof/>
                  <w:lang w:val="en-US"/>
                </w:rPr>
                <w:t xml:space="preserve">ADLER, B., 1987. </w:t>
              </w:r>
              <w:r w:rsidR="008723A6">
                <w:rPr>
                  <w:i/>
                  <w:iCs/>
                  <w:noProof/>
                  <w:lang w:val="en-US"/>
                </w:rPr>
                <w:t xml:space="preserve">Fred Astaire, a Wonderful Life. </w:t>
              </w:r>
              <w:r w:rsidR="008723A6">
                <w:rPr>
                  <w:noProof/>
                  <w:lang w:val="en-US"/>
                </w:rPr>
                <w:t>New York: Carroll &amp; Graf Publishers.</w:t>
              </w:r>
            </w:p>
            <w:p w:rsidR="008723A6" w:rsidRPr="008723A6" w:rsidRDefault="008723A6" w:rsidP="008723A6">
              <w:pPr>
                <w:pStyle w:val="Bibliografa"/>
                <w:rPr>
                  <w:noProof/>
                </w:rPr>
              </w:pPr>
              <w:r w:rsidRPr="008723A6">
                <w:rPr>
                  <w:noProof/>
                </w:rPr>
                <w:t xml:space="preserve">ALTMAN, R., 2011. Los Géneros de Hollywood. </w:t>
              </w:r>
              <w:r>
                <w:rPr>
                  <w:noProof/>
                  <w:lang w:val="en-US"/>
                </w:rPr>
                <w:t xml:space="preserve">In: G. P. BRUNETTA, ed. </w:t>
              </w:r>
              <w:r w:rsidRPr="008723A6">
                <w:rPr>
                  <w:i/>
                  <w:iCs/>
                  <w:noProof/>
                </w:rPr>
                <w:t xml:space="preserve">Historia Mundial del Cine I*. </w:t>
              </w:r>
              <w:r w:rsidRPr="008723A6">
                <w:rPr>
                  <w:noProof/>
                </w:rPr>
                <w:t>Madrid: Akal, pp. 609-622.</w:t>
              </w:r>
            </w:p>
            <w:p w:rsidR="008723A6" w:rsidRDefault="008723A6" w:rsidP="008723A6">
              <w:pPr>
                <w:pStyle w:val="Bibliografa"/>
                <w:rPr>
                  <w:noProof/>
                  <w:lang w:val="en-US"/>
                </w:rPr>
              </w:pPr>
              <w:r w:rsidRPr="008723A6">
                <w:rPr>
                  <w:noProof/>
                </w:rPr>
                <w:lastRenderedPageBreak/>
                <w:t xml:space="preserve">ASTAIRE, F., 1959. </w:t>
              </w:r>
              <w:r>
                <w:rPr>
                  <w:i/>
                  <w:iCs/>
                  <w:noProof/>
                  <w:lang w:val="en-US"/>
                </w:rPr>
                <w:t xml:space="preserve">Steps in Time. </w:t>
              </w:r>
              <w:r>
                <w:rPr>
                  <w:noProof/>
                  <w:lang w:val="en-US"/>
                </w:rPr>
                <w:t>New York: Harper Entertainment Publisher.</w:t>
              </w:r>
            </w:p>
            <w:p w:rsidR="008723A6" w:rsidRPr="008723A6" w:rsidRDefault="008723A6" w:rsidP="008723A6">
              <w:pPr>
                <w:pStyle w:val="Bibliografa"/>
                <w:rPr>
                  <w:noProof/>
                </w:rPr>
              </w:pPr>
              <w:r w:rsidRPr="008723A6">
                <w:rPr>
                  <w:noProof/>
                </w:rPr>
                <w:t xml:space="preserve">FEUER, J., 1992. </w:t>
              </w:r>
              <w:r w:rsidRPr="008723A6">
                <w:rPr>
                  <w:i/>
                  <w:iCs/>
                  <w:noProof/>
                </w:rPr>
                <w:t xml:space="preserve">El Musical de Hollywood. </w:t>
              </w:r>
              <w:r w:rsidRPr="008723A6">
                <w:rPr>
                  <w:noProof/>
                </w:rPr>
                <w:t>Madrid: Verdoux, D.L.</w:t>
              </w:r>
            </w:p>
            <w:p w:rsidR="008723A6" w:rsidRDefault="008723A6" w:rsidP="008723A6">
              <w:pPr>
                <w:pStyle w:val="Bibliografa"/>
                <w:rPr>
                  <w:noProof/>
                  <w:lang w:val="en-US"/>
                </w:rPr>
              </w:pPr>
              <w:r w:rsidRPr="008723A6">
                <w:rPr>
                  <w:noProof/>
                </w:rPr>
                <w:t xml:space="preserve">MUELLER, J., 1985. </w:t>
              </w:r>
              <w:r>
                <w:rPr>
                  <w:i/>
                  <w:iCs/>
                  <w:noProof/>
                  <w:lang w:val="en-US"/>
                </w:rPr>
                <w:t xml:space="preserve">Astaire Dancing -- the Musical Films. </w:t>
              </w:r>
              <w:r>
                <w:rPr>
                  <w:noProof/>
                  <w:lang w:val="en-US"/>
                </w:rPr>
                <w:t>2010 ed. s.l.:The Educational Publisher .</w:t>
              </w:r>
            </w:p>
            <w:p w:rsidR="008723A6" w:rsidRDefault="008723A6" w:rsidP="008723A6">
              <w:pPr>
                <w:pStyle w:val="Bibliografa"/>
                <w:rPr>
                  <w:noProof/>
                  <w:lang w:val="en-US"/>
                </w:rPr>
              </w:pPr>
              <w:r>
                <w:rPr>
                  <w:noProof/>
                  <w:lang w:val="en-US"/>
                </w:rPr>
                <w:t xml:space="preserve">STEARNS, M. a. J., 1979. </w:t>
              </w:r>
              <w:r>
                <w:rPr>
                  <w:i/>
                  <w:iCs/>
                  <w:noProof/>
                  <w:lang w:val="en-US"/>
                </w:rPr>
                <w:t xml:space="preserve">The Story o American Vernacular Dance. </w:t>
              </w:r>
              <w:r>
                <w:rPr>
                  <w:noProof/>
                  <w:lang w:val="en-US"/>
                </w:rPr>
                <w:t>New York: Shrimer Books.</w:t>
              </w:r>
            </w:p>
            <w:p w:rsidR="00B8301D" w:rsidRDefault="00B8301D" w:rsidP="008723A6">
              <w:r>
                <w:rPr>
                  <w:b/>
                  <w:bCs/>
                </w:rPr>
                <w:fldChar w:fldCharType="end"/>
              </w:r>
            </w:p>
          </w:sdtContent>
        </w:sdt>
      </w:sdtContent>
    </w:sdt>
    <w:p w:rsidR="00F60984" w:rsidRDefault="00F60984"/>
    <w:p w:rsidR="00F60984" w:rsidRDefault="00F60984"/>
    <w:p w:rsidR="00F60984" w:rsidRDefault="00F60984"/>
    <w:p w:rsidR="00F60984" w:rsidRDefault="00F60984"/>
    <w:p w:rsidR="00F60984" w:rsidRDefault="00F60984"/>
    <w:p w:rsidR="00F60984" w:rsidRDefault="00F60984"/>
    <w:p w:rsidR="00F60984" w:rsidRDefault="00F60984"/>
    <w:p w:rsidR="008723A6" w:rsidRDefault="008723A6" w:rsidP="00B34987">
      <w:pPr>
        <w:ind w:firstLine="0"/>
      </w:pPr>
    </w:p>
    <w:p w:rsidR="00F60984" w:rsidRDefault="00F60984"/>
    <w:p w:rsidR="00F60984" w:rsidRDefault="00F60984"/>
    <w:sectPr w:rsidR="00F60984">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2239" w:rsidRDefault="009F2239" w:rsidP="00301FB2">
      <w:pPr>
        <w:spacing w:after="0"/>
      </w:pPr>
      <w:r>
        <w:separator/>
      </w:r>
    </w:p>
  </w:endnote>
  <w:endnote w:type="continuationSeparator" w:id="0">
    <w:p w:rsidR="009F2239" w:rsidRDefault="009F2239" w:rsidP="00301FB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6A1" w:rsidRDefault="00AE56A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0038377"/>
      <w:docPartObj>
        <w:docPartGallery w:val="Page Numbers (Bottom of Page)"/>
        <w:docPartUnique/>
      </w:docPartObj>
    </w:sdtPr>
    <w:sdtEndPr/>
    <w:sdtContent>
      <w:p w:rsidR="00AE56A1" w:rsidRDefault="00AE56A1">
        <w:pPr>
          <w:pStyle w:val="Piedepgina"/>
          <w:jc w:val="right"/>
        </w:pPr>
        <w:r>
          <w:fldChar w:fldCharType="begin"/>
        </w:r>
        <w:r>
          <w:instrText>PAGE   \* MERGEFORMAT</w:instrText>
        </w:r>
        <w:r>
          <w:fldChar w:fldCharType="separate"/>
        </w:r>
        <w:r w:rsidR="008719D0">
          <w:rPr>
            <w:noProof/>
          </w:rPr>
          <w:t>3</w:t>
        </w:r>
        <w:r>
          <w:fldChar w:fldCharType="end"/>
        </w:r>
      </w:p>
    </w:sdtContent>
  </w:sdt>
  <w:p w:rsidR="004905FE" w:rsidRDefault="004905FE">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6A1" w:rsidRDefault="00AE56A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2239" w:rsidRDefault="009F2239" w:rsidP="00301FB2">
      <w:pPr>
        <w:spacing w:after="0"/>
      </w:pPr>
      <w:r>
        <w:separator/>
      </w:r>
    </w:p>
  </w:footnote>
  <w:footnote w:type="continuationSeparator" w:id="0">
    <w:p w:rsidR="009F2239" w:rsidRDefault="009F2239" w:rsidP="00301FB2">
      <w:pPr>
        <w:spacing w:after="0"/>
      </w:pPr>
      <w:r>
        <w:continuationSeparator/>
      </w:r>
    </w:p>
  </w:footnote>
  <w:footnote w:id="1">
    <w:p w:rsidR="00301FB2" w:rsidRDefault="00301FB2">
      <w:pPr>
        <w:pStyle w:val="Textonotapie"/>
      </w:pPr>
      <w:r>
        <w:rPr>
          <w:rStyle w:val="Refdenotaalpie"/>
        </w:rPr>
        <w:footnoteRef/>
      </w:r>
      <w:r>
        <w:t xml:space="preserve"> Técnica de claqué basada en el uso casi exclusivo de la percusión de pies sin apenas mover la parte superior del cuerpo y los brazos.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6A1" w:rsidRDefault="00AE56A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6A1" w:rsidRDefault="00AE56A1">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6A1" w:rsidRDefault="00AE56A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A53428"/>
    <w:multiLevelType w:val="hybridMultilevel"/>
    <w:tmpl w:val="CAC68192"/>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
    <w:nsid w:val="6C4E34C4"/>
    <w:multiLevelType w:val="hybridMultilevel"/>
    <w:tmpl w:val="DEBC51B4"/>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984"/>
    <w:rsid w:val="00032055"/>
    <w:rsid w:val="000357CC"/>
    <w:rsid w:val="000411E2"/>
    <w:rsid w:val="00052332"/>
    <w:rsid w:val="00064E4A"/>
    <w:rsid w:val="000707D2"/>
    <w:rsid w:val="00074BDB"/>
    <w:rsid w:val="000838D5"/>
    <w:rsid w:val="00085E91"/>
    <w:rsid w:val="0009157A"/>
    <w:rsid w:val="0009497D"/>
    <w:rsid w:val="000A00CE"/>
    <w:rsid w:val="000B2ADA"/>
    <w:rsid w:val="000B49B5"/>
    <w:rsid w:val="000C41AD"/>
    <w:rsid w:val="000D12EB"/>
    <w:rsid w:val="000D329A"/>
    <w:rsid w:val="000E23D0"/>
    <w:rsid w:val="000E5035"/>
    <w:rsid w:val="000F10EC"/>
    <w:rsid w:val="000F5149"/>
    <w:rsid w:val="00106765"/>
    <w:rsid w:val="001113DB"/>
    <w:rsid w:val="0011616B"/>
    <w:rsid w:val="001208B4"/>
    <w:rsid w:val="00124162"/>
    <w:rsid w:val="001324ED"/>
    <w:rsid w:val="00136312"/>
    <w:rsid w:val="0014290B"/>
    <w:rsid w:val="00154232"/>
    <w:rsid w:val="00164664"/>
    <w:rsid w:val="00197FC1"/>
    <w:rsid w:val="001A4080"/>
    <w:rsid w:val="001B2649"/>
    <w:rsid w:val="001B4D5F"/>
    <w:rsid w:val="001C65B6"/>
    <w:rsid w:val="001D5FA9"/>
    <w:rsid w:val="001E26F0"/>
    <w:rsid w:val="001E3484"/>
    <w:rsid w:val="001E4BFC"/>
    <w:rsid w:val="001E543A"/>
    <w:rsid w:val="001F0501"/>
    <w:rsid w:val="001F1725"/>
    <w:rsid w:val="00211386"/>
    <w:rsid w:val="00225A17"/>
    <w:rsid w:val="002268BF"/>
    <w:rsid w:val="00242B59"/>
    <w:rsid w:val="00260DF5"/>
    <w:rsid w:val="00266420"/>
    <w:rsid w:val="00271ACE"/>
    <w:rsid w:val="002863EA"/>
    <w:rsid w:val="00297A9A"/>
    <w:rsid w:val="002A0CC5"/>
    <w:rsid w:val="002A2998"/>
    <w:rsid w:val="002A7B82"/>
    <w:rsid w:val="002B0109"/>
    <w:rsid w:val="002B470D"/>
    <w:rsid w:val="002B5A63"/>
    <w:rsid w:val="002B60F9"/>
    <w:rsid w:val="002B66EE"/>
    <w:rsid w:val="002C6FCC"/>
    <w:rsid w:val="002D0AC9"/>
    <w:rsid w:val="002D26AF"/>
    <w:rsid w:val="002D7429"/>
    <w:rsid w:val="002E58F6"/>
    <w:rsid w:val="002F5449"/>
    <w:rsid w:val="002F62DF"/>
    <w:rsid w:val="002F749F"/>
    <w:rsid w:val="00301296"/>
    <w:rsid w:val="00301FB2"/>
    <w:rsid w:val="00303AFE"/>
    <w:rsid w:val="003110F3"/>
    <w:rsid w:val="00313180"/>
    <w:rsid w:val="00317221"/>
    <w:rsid w:val="003336F8"/>
    <w:rsid w:val="00334481"/>
    <w:rsid w:val="00335162"/>
    <w:rsid w:val="00347E26"/>
    <w:rsid w:val="003504D2"/>
    <w:rsid w:val="00352504"/>
    <w:rsid w:val="00355843"/>
    <w:rsid w:val="00376104"/>
    <w:rsid w:val="00382580"/>
    <w:rsid w:val="003C0EA4"/>
    <w:rsid w:val="003C4314"/>
    <w:rsid w:val="003D1F96"/>
    <w:rsid w:val="003D3AA0"/>
    <w:rsid w:val="003D48C4"/>
    <w:rsid w:val="003D57E1"/>
    <w:rsid w:val="00401FE6"/>
    <w:rsid w:val="00406977"/>
    <w:rsid w:val="004129D0"/>
    <w:rsid w:val="004155D8"/>
    <w:rsid w:val="0041660B"/>
    <w:rsid w:val="004435F8"/>
    <w:rsid w:val="004436D6"/>
    <w:rsid w:val="00444630"/>
    <w:rsid w:val="0045299A"/>
    <w:rsid w:val="00452FE6"/>
    <w:rsid w:val="0047455E"/>
    <w:rsid w:val="00490355"/>
    <w:rsid w:val="004905FE"/>
    <w:rsid w:val="004A2F8A"/>
    <w:rsid w:val="004B364E"/>
    <w:rsid w:val="004B5E62"/>
    <w:rsid w:val="004C485B"/>
    <w:rsid w:val="004C613D"/>
    <w:rsid w:val="004D4A13"/>
    <w:rsid w:val="004E0696"/>
    <w:rsid w:val="004E27BE"/>
    <w:rsid w:val="004F50C3"/>
    <w:rsid w:val="005053AC"/>
    <w:rsid w:val="00515E09"/>
    <w:rsid w:val="0051751F"/>
    <w:rsid w:val="00520AAA"/>
    <w:rsid w:val="00521FFD"/>
    <w:rsid w:val="00522BA9"/>
    <w:rsid w:val="0053582F"/>
    <w:rsid w:val="005408CD"/>
    <w:rsid w:val="005426F8"/>
    <w:rsid w:val="005521FA"/>
    <w:rsid w:val="00553CBA"/>
    <w:rsid w:val="00555F2E"/>
    <w:rsid w:val="00563F6F"/>
    <w:rsid w:val="00574707"/>
    <w:rsid w:val="00577F1D"/>
    <w:rsid w:val="0059043B"/>
    <w:rsid w:val="00593527"/>
    <w:rsid w:val="005940E6"/>
    <w:rsid w:val="005A0C8D"/>
    <w:rsid w:val="005A5455"/>
    <w:rsid w:val="005A545F"/>
    <w:rsid w:val="005A672C"/>
    <w:rsid w:val="005A7390"/>
    <w:rsid w:val="005B2FD6"/>
    <w:rsid w:val="005B4C0A"/>
    <w:rsid w:val="005C4D82"/>
    <w:rsid w:val="005D3D04"/>
    <w:rsid w:val="005E6805"/>
    <w:rsid w:val="005F59CA"/>
    <w:rsid w:val="006055A7"/>
    <w:rsid w:val="00605F03"/>
    <w:rsid w:val="00613424"/>
    <w:rsid w:val="00616821"/>
    <w:rsid w:val="0063463C"/>
    <w:rsid w:val="00640269"/>
    <w:rsid w:val="006551A8"/>
    <w:rsid w:val="00666716"/>
    <w:rsid w:val="00667A5D"/>
    <w:rsid w:val="00682FA1"/>
    <w:rsid w:val="00685267"/>
    <w:rsid w:val="006A6070"/>
    <w:rsid w:val="006B7DE8"/>
    <w:rsid w:val="006C1ABB"/>
    <w:rsid w:val="006C2D57"/>
    <w:rsid w:val="006C3BB0"/>
    <w:rsid w:val="006C6ED9"/>
    <w:rsid w:val="006E256B"/>
    <w:rsid w:val="006E381F"/>
    <w:rsid w:val="006E704E"/>
    <w:rsid w:val="006F30F0"/>
    <w:rsid w:val="006F4C68"/>
    <w:rsid w:val="006F74B1"/>
    <w:rsid w:val="00702258"/>
    <w:rsid w:val="00703414"/>
    <w:rsid w:val="0070690F"/>
    <w:rsid w:val="00711AA9"/>
    <w:rsid w:val="00717F2F"/>
    <w:rsid w:val="007400B7"/>
    <w:rsid w:val="00743B40"/>
    <w:rsid w:val="00745319"/>
    <w:rsid w:val="007470BD"/>
    <w:rsid w:val="007477A7"/>
    <w:rsid w:val="00753911"/>
    <w:rsid w:val="00754430"/>
    <w:rsid w:val="00764CEB"/>
    <w:rsid w:val="00775137"/>
    <w:rsid w:val="007847D2"/>
    <w:rsid w:val="00785F41"/>
    <w:rsid w:val="00787A2D"/>
    <w:rsid w:val="00791296"/>
    <w:rsid w:val="00792A8B"/>
    <w:rsid w:val="007973A8"/>
    <w:rsid w:val="007B14C7"/>
    <w:rsid w:val="007B6ABA"/>
    <w:rsid w:val="007C13D8"/>
    <w:rsid w:val="007C5855"/>
    <w:rsid w:val="007D4079"/>
    <w:rsid w:val="007D42D1"/>
    <w:rsid w:val="007E0906"/>
    <w:rsid w:val="007E0DA7"/>
    <w:rsid w:val="007E0F66"/>
    <w:rsid w:val="007E2076"/>
    <w:rsid w:val="007F1CCC"/>
    <w:rsid w:val="007F42D3"/>
    <w:rsid w:val="00805F0B"/>
    <w:rsid w:val="00805F88"/>
    <w:rsid w:val="00810977"/>
    <w:rsid w:val="00820535"/>
    <w:rsid w:val="00833FCE"/>
    <w:rsid w:val="00836568"/>
    <w:rsid w:val="008376A8"/>
    <w:rsid w:val="0084139E"/>
    <w:rsid w:val="00847734"/>
    <w:rsid w:val="00852A5B"/>
    <w:rsid w:val="008640B4"/>
    <w:rsid w:val="00865971"/>
    <w:rsid w:val="008719D0"/>
    <w:rsid w:val="008723A6"/>
    <w:rsid w:val="0087435B"/>
    <w:rsid w:val="00877207"/>
    <w:rsid w:val="00886257"/>
    <w:rsid w:val="0089061E"/>
    <w:rsid w:val="00895D05"/>
    <w:rsid w:val="008A122B"/>
    <w:rsid w:val="008A7CF3"/>
    <w:rsid w:val="008B3090"/>
    <w:rsid w:val="008B7284"/>
    <w:rsid w:val="008C2752"/>
    <w:rsid w:val="008F0408"/>
    <w:rsid w:val="00900F3B"/>
    <w:rsid w:val="00906CFC"/>
    <w:rsid w:val="00915D02"/>
    <w:rsid w:val="009253CD"/>
    <w:rsid w:val="00925C98"/>
    <w:rsid w:val="00927988"/>
    <w:rsid w:val="00927EAC"/>
    <w:rsid w:val="00930311"/>
    <w:rsid w:val="00946986"/>
    <w:rsid w:val="00950721"/>
    <w:rsid w:val="00953086"/>
    <w:rsid w:val="009619A9"/>
    <w:rsid w:val="009627E4"/>
    <w:rsid w:val="00975EBD"/>
    <w:rsid w:val="009806D7"/>
    <w:rsid w:val="0098408B"/>
    <w:rsid w:val="00985374"/>
    <w:rsid w:val="009B1328"/>
    <w:rsid w:val="009B18F9"/>
    <w:rsid w:val="009B71C6"/>
    <w:rsid w:val="009C35A7"/>
    <w:rsid w:val="009C6A89"/>
    <w:rsid w:val="009D0081"/>
    <w:rsid w:val="009E2372"/>
    <w:rsid w:val="009E3136"/>
    <w:rsid w:val="009E3D68"/>
    <w:rsid w:val="009E4A09"/>
    <w:rsid w:val="009E7DF3"/>
    <w:rsid w:val="009F2239"/>
    <w:rsid w:val="009F3EE6"/>
    <w:rsid w:val="009F4BDD"/>
    <w:rsid w:val="00A00978"/>
    <w:rsid w:val="00A01CC4"/>
    <w:rsid w:val="00A02935"/>
    <w:rsid w:val="00A05C3D"/>
    <w:rsid w:val="00A164FA"/>
    <w:rsid w:val="00A2121A"/>
    <w:rsid w:val="00A2430F"/>
    <w:rsid w:val="00A32532"/>
    <w:rsid w:val="00A34F6C"/>
    <w:rsid w:val="00A440B2"/>
    <w:rsid w:val="00A51A3D"/>
    <w:rsid w:val="00A528D7"/>
    <w:rsid w:val="00A52B1A"/>
    <w:rsid w:val="00A60455"/>
    <w:rsid w:val="00A64DA6"/>
    <w:rsid w:val="00A65CD7"/>
    <w:rsid w:val="00A866BE"/>
    <w:rsid w:val="00A866D7"/>
    <w:rsid w:val="00A94FD3"/>
    <w:rsid w:val="00AA1E8D"/>
    <w:rsid w:val="00AA6D65"/>
    <w:rsid w:val="00AB1ACE"/>
    <w:rsid w:val="00AB6031"/>
    <w:rsid w:val="00AC1985"/>
    <w:rsid w:val="00AC38FE"/>
    <w:rsid w:val="00AD01E1"/>
    <w:rsid w:val="00AE56A1"/>
    <w:rsid w:val="00AE6B76"/>
    <w:rsid w:val="00AF0496"/>
    <w:rsid w:val="00B0273A"/>
    <w:rsid w:val="00B02F05"/>
    <w:rsid w:val="00B033C5"/>
    <w:rsid w:val="00B07395"/>
    <w:rsid w:val="00B12045"/>
    <w:rsid w:val="00B15BD9"/>
    <w:rsid w:val="00B161FD"/>
    <w:rsid w:val="00B17FAE"/>
    <w:rsid w:val="00B21424"/>
    <w:rsid w:val="00B253DC"/>
    <w:rsid w:val="00B3071E"/>
    <w:rsid w:val="00B3208B"/>
    <w:rsid w:val="00B33A49"/>
    <w:rsid w:val="00B33A78"/>
    <w:rsid w:val="00B34918"/>
    <w:rsid w:val="00B34987"/>
    <w:rsid w:val="00B35422"/>
    <w:rsid w:val="00B35A76"/>
    <w:rsid w:val="00B36AAA"/>
    <w:rsid w:val="00B4210A"/>
    <w:rsid w:val="00B52227"/>
    <w:rsid w:val="00B5306D"/>
    <w:rsid w:val="00B54E3A"/>
    <w:rsid w:val="00B57D52"/>
    <w:rsid w:val="00B629F3"/>
    <w:rsid w:val="00B66C80"/>
    <w:rsid w:val="00B809A4"/>
    <w:rsid w:val="00B83012"/>
    <w:rsid w:val="00B8301D"/>
    <w:rsid w:val="00B854D1"/>
    <w:rsid w:val="00B9602B"/>
    <w:rsid w:val="00BB11CA"/>
    <w:rsid w:val="00BB7FE8"/>
    <w:rsid w:val="00BC1D8C"/>
    <w:rsid w:val="00BC29C7"/>
    <w:rsid w:val="00BD53D4"/>
    <w:rsid w:val="00BE240E"/>
    <w:rsid w:val="00BE25EC"/>
    <w:rsid w:val="00BE6785"/>
    <w:rsid w:val="00BF13F5"/>
    <w:rsid w:val="00BF39F1"/>
    <w:rsid w:val="00BF4DF2"/>
    <w:rsid w:val="00BF61B7"/>
    <w:rsid w:val="00C0796D"/>
    <w:rsid w:val="00C1343A"/>
    <w:rsid w:val="00C13B8E"/>
    <w:rsid w:val="00C207B9"/>
    <w:rsid w:val="00C20CFB"/>
    <w:rsid w:val="00C22FE3"/>
    <w:rsid w:val="00C26A4E"/>
    <w:rsid w:val="00C31BC4"/>
    <w:rsid w:val="00C47F17"/>
    <w:rsid w:val="00C55F29"/>
    <w:rsid w:val="00C600EC"/>
    <w:rsid w:val="00C63520"/>
    <w:rsid w:val="00C676D8"/>
    <w:rsid w:val="00C745EA"/>
    <w:rsid w:val="00C75C7D"/>
    <w:rsid w:val="00C83D53"/>
    <w:rsid w:val="00C876FF"/>
    <w:rsid w:val="00CA1F99"/>
    <w:rsid w:val="00CA48F5"/>
    <w:rsid w:val="00CA539A"/>
    <w:rsid w:val="00CA6582"/>
    <w:rsid w:val="00CB6AA4"/>
    <w:rsid w:val="00CC3AE4"/>
    <w:rsid w:val="00CD27F1"/>
    <w:rsid w:val="00CD6EE9"/>
    <w:rsid w:val="00CE3ED8"/>
    <w:rsid w:val="00CF294D"/>
    <w:rsid w:val="00CF4D3B"/>
    <w:rsid w:val="00D243A1"/>
    <w:rsid w:val="00D4499D"/>
    <w:rsid w:val="00D4534A"/>
    <w:rsid w:val="00D45E4D"/>
    <w:rsid w:val="00D5534E"/>
    <w:rsid w:val="00D569AD"/>
    <w:rsid w:val="00D57DA1"/>
    <w:rsid w:val="00D635A1"/>
    <w:rsid w:val="00D7270E"/>
    <w:rsid w:val="00D727C9"/>
    <w:rsid w:val="00D856F1"/>
    <w:rsid w:val="00DA6361"/>
    <w:rsid w:val="00DB3477"/>
    <w:rsid w:val="00DB398C"/>
    <w:rsid w:val="00DC031C"/>
    <w:rsid w:val="00DC679B"/>
    <w:rsid w:val="00DD55A4"/>
    <w:rsid w:val="00DE222B"/>
    <w:rsid w:val="00DE6478"/>
    <w:rsid w:val="00DE7D44"/>
    <w:rsid w:val="00DF1704"/>
    <w:rsid w:val="00DF1F98"/>
    <w:rsid w:val="00DF2504"/>
    <w:rsid w:val="00DF2D3B"/>
    <w:rsid w:val="00DF4E41"/>
    <w:rsid w:val="00DF743B"/>
    <w:rsid w:val="00E0771F"/>
    <w:rsid w:val="00E2010A"/>
    <w:rsid w:val="00E202A2"/>
    <w:rsid w:val="00E245E0"/>
    <w:rsid w:val="00E30D2A"/>
    <w:rsid w:val="00E33225"/>
    <w:rsid w:val="00E33586"/>
    <w:rsid w:val="00E80ED2"/>
    <w:rsid w:val="00E840FD"/>
    <w:rsid w:val="00E9382D"/>
    <w:rsid w:val="00E97E3C"/>
    <w:rsid w:val="00EA6FBB"/>
    <w:rsid w:val="00EA70A4"/>
    <w:rsid w:val="00EB582E"/>
    <w:rsid w:val="00EF0EDE"/>
    <w:rsid w:val="00EF1CBB"/>
    <w:rsid w:val="00EF2167"/>
    <w:rsid w:val="00F22BF4"/>
    <w:rsid w:val="00F27A8B"/>
    <w:rsid w:val="00F36C74"/>
    <w:rsid w:val="00F4407B"/>
    <w:rsid w:val="00F44B9E"/>
    <w:rsid w:val="00F45406"/>
    <w:rsid w:val="00F53B33"/>
    <w:rsid w:val="00F57CE7"/>
    <w:rsid w:val="00F60984"/>
    <w:rsid w:val="00F6638D"/>
    <w:rsid w:val="00F66B94"/>
    <w:rsid w:val="00F72D7F"/>
    <w:rsid w:val="00F90775"/>
    <w:rsid w:val="00F95AF7"/>
    <w:rsid w:val="00FC1EA9"/>
    <w:rsid w:val="00FC7B3A"/>
    <w:rsid w:val="00FD1872"/>
    <w:rsid w:val="00FD429B"/>
    <w:rsid w:val="00FE1586"/>
    <w:rsid w:val="00FF0470"/>
    <w:rsid w:val="00FF0F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A0CC5"/>
    <w:pPr>
      <w:spacing w:after="120"/>
      <w:ind w:firstLine="709"/>
    </w:pPr>
    <w:rPr>
      <w:rFonts w:ascii="Georgia" w:hAnsi="Georgia"/>
      <w:sz w:val="24"/>
      <w:szCs w:val="24"/>
    </w:rPr>
  </w:style>
  <w:style w:type="paragraph" w:styleId="Ttulo1">
    <w:name w:val="heading 1"/>
    <w:basedOn w:val="Normal"/>
    <w:next w:val="Normal"/>
    <w:link w:val="Ttulo1Car"/>
    <w:uiPriority w:val="9"/>
    <w:qFormat/>
    <w:rsid w:val="00F60984"/>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60984"/>
    <w:rPr>
      <w:rFonts w:asciiTheme="majorHAnsi" w:eastAsiaTheme="majorEastAsia" w:hAnsiTheme="majorHAnsi" w:cstheme="majorBidi"/>
      <w:b/>
      <w:bCs/>
      <w:color w:val="365F91" w:themeColor="accent1" w:themeShade="BF"/>
      <w:sz w:val="28"/>
      <w:szCs w:val="28"/>
    </w:rPr>
  </w:style>
  <w:style w:type="paragraph" w:styleId="Textodeglobo">
    <w:name w:val="Balloon Text"/>
    <w:basedOn w:val="Normal"/>
    <w:link w:val="TextodegloboCar"/>
    <w:rsid w:val="00F60984"/>
    <w:rPr>
      <w:rFonts w:ascii="Tahoma" w:hAnsi="Tahoma" w:cs="Tahoma"/>
      <w:sz w:val="16"/>
      <w:szCs w:val="16"/>
    </w:rPr>
  </w:style>
  <w:style w:type="character" w:customStyle="1" w:styleId="TextodegloboCar">
    <w:name w:val="Texto de globo Car"/>
    <w:basedOn w:val="Fuentedeprrafopredeter"/>
    <w:link w:val="Textodeglobo"/>
    <w:rsid w:val="00F60984"/>
    <w:rPr>
      <w:rFonts w:ascii="Tahoma" w:hAnsi="Tahoma" w:cs="Tahoma"/>
      <w:sz w:val="16"/>
      <w:szCs w:val="16"/>
    </w:rPr>
  </w:style>
  <w:style w:type="paragraph" w:styleId="Prrafodelista">
    <w:name w:val="List Paragraph"/>
    <w:basedOn w:val="Normal"/>
    <w:uiPriority w:val="34"/>
    <w:qFormat/>
    <w:rsid w:val="00A94FD3"/>
    <w:pPr>
      <w:ind w:left="720"/>
      <w:contextualSpacing/>
    </w:pPr>
  </w:style>
  <w:style w:type="paragraph" w:styleId="Textonotapie">
    <w:name w:val="footnote text"/>
    <w:basedOn w:val="Normal"/>
    <w:link w:val="TextonotapieCar"/>
    <w:rsid w:val="00301FB2"/>
    <w:pPr>
      <w:spacing w:after="0"/>
    </w:pPr>
    <w:rPr>
      <w:sz w:val="20"/>
      <w:szCs w:val="20"/>
    </w:rPr>
  </w:style>
  <w:style w:type="character" w:customStyle="1" w:styleId="TextonotapieCar">
    <w:name w:val="Texto nota pie Car"/>
    <w:basedOn w:val="Fuentedeprrafopredeter"/>
    <w:link w:val="Textonotapie"/>
    <w:rsid w:val="00301FB2"/>
    <w:rPr>
      <w:rFonts w:ascii="Georgia" w:hAnsi="Georgia"/>
    </w:rPr>
  </w:style>
  <w:style w:type="character" w:styleId="Refdenotaalpie">
    <w:name w:val="footnote reference"/>
    <w:basedOn w:val="Fuentedeprrafopredeter"/>
    <w:rsid w:val="00301FB2"/>
    <w:rPr>
      <w:vertAlign w:val="superscript"/>
    </w:rPr>
  </w:style>
  <w:style w:type="paragraph" w:styleId="Bibliografa">
    <w:name w:val="Bibliography"/>
    <w:basedOn w:val="Normal"/>
    <w:next w:val="Normal"/>
    <w:uiPriority w:val="37"/>
    <w:unhideWhenUsed/>
    <w:rsid w:val="00B8301D"/>
  </w:style>
  <w:style w:type="paragraph" w:styleId="Encabezado">
    <w:name w:val="header"/>
    <w:basedOn w:val="Normal"/>
    <w:link w:val="EncabezadoCar"/>
    <w:rsid w:val="004905FE"/>
    <w:pPr>
      <w:tabs>
        <w:tab w:val="center" w:pos="4252"/>
        <w:tab w:val="right" w:pos="8504"/>
      </w:tabs>
      <w:spacing w:after="0"/>
    </w:pPr>
  </w:style>
  <w:style w:type="character" w:customStyle="1" w:styleId="EncabezadoCar">
    <w:name w:val="Encabezado Car"/>
    <w:basedOn w:val="Fuentedeprrafopredeter"/>
    <w:link w:val="Encabezado"/>
    <w:rsid w:val="004905FE"/>
    <w:rPr>
      <w:rFonts w:ascii="Georgia" w:hAnsi="Georgia"/>
      <w:sz w:val="24"/>
      <w:szCs w:val="24"/>
    </w:rPr>
  </w:style>
  <w:style w:type="paragraph" w:styleId="Piedepgina">
    <w:name w:val="footer"/>
    <w:basedOn w:val="Normal"/>
    <w:link w:val="PiedepginaCar"/>
    <w:uiPriority w:val="99"/>
    <w:rsid w:val="004905FE"/>
    <w:pPr>
      <w:tabs>
        <w:tab w:val="center" w:pos="4252"/>
        <w:tab w:val="right" w:pos="8504"/>
      </w:tabs>
      <w:spacing w:after="0"/>
    </w:pPr>
  </w:style>
  <w:style w:type="character" w:customStyle="1" w:styleId="PiedepginaCar">
    <w:name w:val="Pie de página Car"/>
    <w:basedOn w:val="Fuentedeprrafopredeter"/>
    <w:link w:val="Piedepgina"/>
    <w:uiPriority w:val="99"/>
    <w:rsid w:val="004905FE"/>
    <w:rPr>
      <w:rFonts w:ascii="Georgia" w:hAnsi="Georgi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A0CC5"/>
    <w:pPr>
      <w:spacing w:after="120"/>
      <w:ind w:firstLine="709"/>
    </w:pPr>
    <w:rPr>
      <w:rFonts w:ascii="Georgia" w:hAnsi="Georgia"/>
      <w:sz w:val="24"/>
      <w:szCs w:val="24"/>
    </w:rPr>
  </w:style>
  <w:style w:type="paragraph" w:styleId="Ttulo1">
    <w:name w:val="heading 1"/>
    <w:basedOn w:val="Normal"/>
    <w:next w:val="Normal"/>
    <w:link w:val="Ttulo1Car"/>
    <w:uiPriority w:val="9"/>
    <w:qFormat/>
    <w:rsid w:val="00F60984"/>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60984"/>
    <w:rPr>
      <w:rFonts w:asciiTheme="majorHAnsi" w:eastAsiaTheme="majorEastAsia" w:hAnsiTheme="majorHAnsi" w:cstheme="majorBidi"/>
      <w:b/>
      <w:bCs/>
      <w:color w:val="365F91" w:themeColor="accent1" w:themeShade="BF"/>
      <w:sz w:val="28"/>
      <w:szCs w:val="28"/>
    </w:rPr>
  </w:style>
  <w:style w:type="paragraph" w:styleId="Textodeglobo">
    <w:name w:val="Balloon Text"/>
    <w:basedOn w:val="Normal"/>
    <w:link w:val="TextodegloboCar"/>
    <w:rsid w:val="00F60984"/>
    <w:rPr>
      <w:rFonts w:ascii="Tahoma" w:hAnsi="Tahoma" w:cs="Tahoma"/>
      <w:sz w:val="16"/>
      <w:szCs w:val="16"/>
    </w:rPr>
  </w:style>
  <w:style w:type="character" w:customStyle="1" w:styleId="TextodegloboCar">
    <w:name w:val="Texto de globo Car"/>
    <w:basedOn w:val="Fuentedeprrafopredeter"/>
    <w:link w:val="Textodeglobo"/>
    <w:rsid w:val="00F60984"/>
    <w:rPr>
      <w:rFonts w:ascii="Tahoma" w:hAnsi="Tahoma" w:cs="Tahoma"/>
      <w:sz w:val="16"/>
      <w:szCs w:val="16"/>
    </w:rPr>
  </w:style>
  <w:style w:type="paragraph" w:styleId="Prrafodelista">
    <w:name w:val="List Paragraph"/>
    <w:basedOn w:val="Normal"/>
    <w:uiPriority w:val="34"/>
    <w:qFormat/>
    <w:rsid w:val="00A94FD3"/>
    <w:pPr>
      <w:ind w:left="720"/>
      <w:contextualSpacing/>
    </w:pPr>
  </w:style>
  <w:style w:type="paragraph" w:styleId="Textonotapie">
    <w:name w:val="footnote text"/>
    <w:basedOn w:val="Normal"/>
    <w:link w:val="TextonotapieCar"/>
    <w:rsid w:val="00301FB2"/>
    <w:pPr>
      <w:spacing w:after="0"/>
    </w:pPr>
    <w:rPr>
      <w:sz w:val="20"/>
      <w:szCs w:val="20"/>
    </w:rPr>
  </w:style>
  <w:style w:type="character" w:customStyle="1" w:styleId="TextonotapieCar">
    <w:name w:val="Texto nota pie Car"/>
    <w:basedOn w:val="Fuentedeprrafopredeter"/>
    <w:link w:val="Textonotapie"/>
    <w:rsid w:val="00301FB2"/>
    <w:rPr>
      <w:rFonts w:ascii="Georgia" w:hAnsi="Georgia"/>
    </w:rPr>
  </w:style>
  <w:style w:type="character" w:styleId="Refdenotaalpie">
    <w:name w:val="footnote reference"/>
    <w:basedOn w:val="Fuentedeprrafopredeter"/>
    <w:rsid w:val="00301FB2"/>
    <w:rPr>
      <w:vertAlign w:val="superscript"/>
    </w:rPr>
  </w:style>
  <w:style w:type="paragraph" w:styleId="Bibliografa">
    <w:name w:val="Bibliography"/>
    <w:basedOn w:val="Normal"/>
    <w:next w:val="Normal"/>
    <w:uiPriority w:val="37"/>
    <w:unhideWhenUsed/>
    <w:rsid w:val="00B8301D"/>
  </w:style>
  <w:style w:type="paragraph" w:styleId="Encabezado">
    <w:name w:val="header"/>
    <w:basedOn w:val="Normal"/>
    <w:link w:val="EncabezadoCar"/>
    <w:rsid w:val="004905FE"/>
    <w:pPr>
      <w:tabs>
        <w:tab w:val="center" w:pos="4252"/>
        <w:tab w:val="right" w:pos="8504"/>
      </w:tabs>
      <w:spacing w:after="0"/>
    </w:pPr>
  </w:style>
  <w:style w:type="character" w:customStyle="1" w:styleId="EncabezadoCar">
    <w:name w:val="Encabezado Car"/>
    <w:basedOn w:val="Fuentedeprrafopredeter"/>
    <w:link w:val="Encabezado"/>
    <w:rsid w:val="004905FE"/>
    <w:rPr>
      <w:rFonts w:ascii="Georgia" w:hAnsi="Georgia"/>
      <w:sz w:val="24"/>
      <w:szCs w:val="24"/>
    </w:rPr>
  </w:style>
  <w:style w:type="paragraph" w:styleId="Piedepgina">
    <w:name w:val="footer"/>
    <w:basedOn w:val="Normal"/>
    <w:link w:val="PiedepginaCar"/>
    <w:uiPriority w:val="99"/>
    <w:rsid w:val="004905FE"/>
    <w:pPr>
      <w:tabs>
        <w:tab w:val="center" w:pos="4252"/>
        <w:tab w:val="right" w:pos="8504"/>
      </w:tabs>
      <w:spacing w:after="0"/>
    </w:pPr>
  </w:style>
  <w:style w:type="character" w:customStyle="1" w:styleId="PiedepginaCar">
    <w:name w:val="Pie de página Car"/>
    <w:basedOn w:val="Fuentedeprrafopredeter"/>
    <w:link w:val="Piedepgina"/>
    <w:uiPriority w:val="99"/>
    <w:rsid w:val="004905FE"/>
    <w:rPr>
      <w:rFonts w:ascii="Georgia" w:hAnsi="Georg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ALT11</b:Tag>
    <b:SourceType>BookSection</b:SourceType>
    <b:Guid>{F245803A-A69A-4DE0-AD20-225B82A9742E}</b:Guid>
    <b:Author>
      <b:Author>
        <b:NameList>
          <b:Person>
            <b:Last>ALTMAN</b:Last>
            <b:First>Rick</b:First>
          </b:Person>
        </b:NameList>
      </b:Author>
      <b:Editor>
        <b:NameList>
          <b:Person>
            <b:Last>BRUNETTA</b:Last>
            <b:First>Gian</b:First>
            <b:Middle>Piero</b:Middle>
          </b:Person>
        </b:NameList>
      </b:Editor>
    </b:Author>
    <b:Title>Los Géneros de Hollywood</b:Title>
    <b:Year>2011</b:Year>
    <b:City>Madrid</b:City>
    <b:Publisher>Akal</b:Publisher>
    <b:BookTitle>Historia Mundial del Cine I*</b:BookTitle>
    <b:Pages>609-622</b:Pages>
    <b:RefOrder>1</b:RefOrder>
  </b:Source>
  <b:Source>
    <b:Tag>ADL87</b:Tag>
    <b:SourceType>Book</b:SourceType>
    <b:Guid>{44163179-5604-4294-99D4-20EDF8151F52}</b:Guid>
    <b:Title>Fred Astaire, a Wonderful Life</b:Title>
    <b:Year>1987</b:Year>
    <b:City>New York</b:City>
    <b:Publisher>Carroll &amp; Graf Publishers</b:Publisher>
    <b:Author>
      <b:Author>
        <b:NameList>
          <b:Person>
            <b:Last>ADLER</b:Last>
            <b:First>Bill</b:First>
          </b:Person>
        </b:NameList>
      </b:Author>
    </b:Author>
    <b:RefOrder>2</b:RefOrder>
  </b:Source>
  <b:Source>
    <b:Tag>AST59</b:Tag>
    <b:SourceType>Book</b:SourceType>
    <b:Guid>{592EE260-F8E1-4754-AD43-A9A1A00D36FF}</b:Guid>
    <b:Author>
      <b:Author>
        <b:NameList>
          <b:Person>
            <b:Last>ASTAIRE</b:Last>
            <b:First>Fred</b:First>
          </b:Person>
        </b:NameList>
      </b:Author>
    </b:Author>
    <b:Title>Steps in Time</b:Title>
    <b:Year>1959</b:Year>
    <b:City>New York</b:City>
    <b:Publisher>Harper Entertainment Publisher</b:Publisher>
    <b:RefOrder>3</b:RefOrder>
  </b:Source>
  <b:Source>
    <b:Tag>FEU92</b:Tag>
    <b:SourceType>Book</b:SourceType>
    <b:Guid>{BF8A82EE-162C-4D2E-8FB7-217524E8B38B}</b:Guid>
    <b:Author>
      <b:Author>
        <b:NameList>
          <b:Person>
            <b:Last>FEUER</b:Last>
            <b:First>Jane</b:First>
          </b:Person>
        </b:NameList>
      </b:Author>
    </b:Author>
    <b:Title>El Musical de Hollywood</b:Title>
    <b:Year>1992</b:Year>
    <b:City>Madrid</b:City>
    <b:Publisher>Verdoux, D.L</b:Publisher>
    <b:RefOrder>4</b:RefOrder>
  </b:Source>
  <b:Source>
    <b:Tag>STE79</b:Tag>
    <b:SourceType>Book</b:SourceType>
    <b:Guid>{EBD38F9C-D810-4006-B37E-6AC2BBD8B34B}</b:Guid>
    <b:Author>
      <b:Author>
        <b:NameList>
          <b:Person>
            <b:Last>STEARNS</b:Last>
            <b:First>Marshall</b:First>
            <b:Middle>and Jean</b:Middle>
          </b:Person>
        </b:NameList>
      </b:Author>
    </b:Author>
    <b:Title>The Story o American Vernacular Dance</b:Title>
    <b:Year>1979</b:Year>
    <b:City>New York</b:City>
    <b:Publisher>Shrimer Books</b:Publisher>
    <b:RefOrder>5</b:RefOrder>
  </b:Source>
  <b:Source>
    <b:Tag>MUE85</b:Tag>
    <b:SourceType>Book</b:SourceType>
    <b:Guid>{DD62F1D1-C25B-4AE6-B30E-FBA760DE5121}</b:Guid>
    <b:Author>
      <b:Author>
        <b:NameList>
          <b:Person>
            <b:Last>MUELLER</b:Last>
            <b:First>John</b:First>
          </b:Person>
        </b:NameList>
      </b:Author>
    </b:Author>
    <b:Title>Astaire Dancing -- the Musical Films </b:Title>
    <b:Year>1985</b:Year>
    <b:Publisher>The Educational Publisher </b:Publisher>
    <b:Edition>2010</b:Edition>
    <b:RefOrder>6</b:RefOrder>
  </b:Source>
</b:Sources>
</file>

<file path=customXml/itemProps1.xml><?xml version="1.0" encoding="utf-8"?>
<ds:datastoreItem xmlns:ds="http://schemas.openxmlformats.org/officeDocument/2006/customXml" ds:itemID="{E5E09D6E-316C-4299-9CDC-39E7CF5D9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4</Pages>
  <Words>944</Words>
  <Characters>5197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Juana</dc:creator>
  <cp:lastModifiedBy>Juana</cp:lastModifiedBy>
  <cp:revision>8</cp:revision>
  <cp:lastPrinted>2012-05-15T10:23:00Z</cp:lastPrinted>
  <dcterms:created xsi:type="dcterms:W3CDTF">2012-05-15T06:14:00Z</dcterms:created>
  <dcterms:modified xsi:type="dcterms:W3CDTF">2012-05-15T10:48:00Z</dcterms:modified>
</cp:coreProperties>
</file>